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r w:rsidRPr="00FC6841">
        <w:rPr>
          <w:rFonts w:asciiTheme="majorHAnsi" w:hAnsiTheme="majorHAnsi" w:cs="Calibri"/>
          <w:b/>
          <w:bCs/>
          <w:color w:val="000000"/>
          <w:sz w:val="28"/>
          <w:szCs w:val="28"/>
        </w:rPr>
        <w:t>CAMPAIGN ACCESSIBILITY CHECKLIST</w:t>
      </w:r>
    </w:p>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r w:rsidRPr="00FC6841">
        <w:rPr>
          <w:rFonts w:asciiTheme="majorHAnsi" w:hAnsiTheme="majorHAnsi" w:cs="Calibri"/>
          <w:color w:val="000000"/>
          <w:sz w:val="28"/>
          <w:szCs w:val="28"/>
        </w:rPr>
        <w:t>This checklist offers a basic overview of how your campaign can include disabled New Yorkers. However, it is not intended to be comprehensive, and we’ve included links below that you can use to make your campaign as inclusive as possible. </w:t>
      </w:r>
    </w:p>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p>
    <w:p w:rsidR="00813907" w:rsidRPr="00FC6841" w:rsidRDefault="00813907" w:rsidP="00FC6841">
      <w:pPr>
        <w:widowControl w:val="0"/>
        <w:autoSpaceDE w:val="0"/>
        <w:autoSpaceDN w:val="0"/>
        <w:adjustRightInd w:val="0"/>
        <w:rPr>
          <w:rFonts w:asciiTheme="majorHAnsi" w:hAnsiTheme="majorHAnsi" w:cs="Times Roman"/>
          <w:b/>
          <w:color w:val="000000"/>
          <w:sz w:val="28"/>
          <w:szCs w:val="28"/>
        </w:rPr>
      </w:pPr>
      <w:r w:rsidRPr="00FC6841">
        <w:rPr>
          <w:rFonts w:asciiTheme="majorHAnsi" w:hAnsiTheme="majorHAnsi" w:cs="Calibri"/>
          <w:b/>
          <w:color w:val="000000"/>
          <w:sz w:val="28"/>
          <w:szCs w:val="28"/>
        </w:rPr>
        <w:t xml:space="preserve">The event I am holding or participating </w:t>
      </w:r>
      <w:r w:rsidR="000C6833">
        <w:rPr>
          <w:rFonts w:asciiTheme="majorHAnsi" w:hAnsiTheme="majorHAnsi" w:cs="Calibri"/>
          <w:b/>
          <w:color w:val="000000"/>
          <w:sz w:val="28"/>
          <w:szCs w:val="28"/>
        </w:rPr>
        <w:t>in:</w:t>
      </w:r>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hAnsiTheme="majorHAnsi" w:cs="Calibri"/>
          <w:color w:val="000000"/>
          <w:sz w:val="28"/>
          <w:szCs w:val="28"/>
        </w:rPr>
        <w:t xml:space="preserve"> </w:t>
      </w:r>
      <w:proofErr w:type="gramStart"/>
      <w:r w:rsidR="00813907" w:rsidRPr="00FC6841">
        <w:rPr>
          <w:rFonts w:asciiTheme="majorHAnsi" w:hAnsiTheme="majorHAnsi" w:cs="Calibri"/>
          <w:color w:val="000000"/>
          <w:sz w:val="28"/>
          <w:szCs w:val="28"/>
        </w:rPr>
        <w:t>Fully</w:t>
      </w:r>
      <w:proofErr w:type="gramEnd"/>
      <w:r w:rsidR="00813907" w:rsidRPr="00FC6841">
        <w:rPr>
          <w:rFonts w:asciiTheme="majorHAnsi" w:hAnsiTheme="majorHAnsi" w:cs="Calibri"/>
          <w:color w:val="000000"/>
          <w:sz w:val="28"/>
          <w:szCs w:val="28"/>
        </w:rPr>
        <w:t xml:space="preserve"> accessible to participants in wheelchairs or who have mobility disabilities</w:t>
      </w:r>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hAnsiTheme="majorHAnsi" w:cs="Calibri"/>
          <w:color w:val="000000"/>
          <w:sz w:val="28"/>
          <w:szCs w:val="28"/>
        </w:rPr>
        <w:t xml:space="preserve"> </w:t>
      </w:r>
      <w:proofErr w:type="gramStart"/>
      <w:r w:rsidR="00813907" w:rsidRPr="00FC6841">
        <w:rPr>
          <w:rFonts w:asciiTheme="majorHAnsi" w:hAnsiTheme="majorHAnsi" w:cs="Calibri"/>
          <w:color w:val="000000"/>
          <w:sz w:val="28"/>
          <w:szCs w:val="28"/>
        </w:rPr>
        <w:t>Has</w:t>
      </w:r>
      <w:proofErr w:type="gramEnd"/>
      <w:r w:rsidR="00813907" w:rsidRPr="00FC6841">
        <w:rPr>
          <w:rFonts w:asciiTheme="majorHAnsi" w:hAnsiTheme="majorHAnsi" w:cs="Calibri"/>
          <w:color w:val="000000"/>
          <w:sz w:val="28"/>
          <w:szCs w:val="28"/>
        </w:rPr>
        <w:t xml:space="preserve"> American Sign Language interpreters and CART (Communication Access </w:t>
      </w:r>
      <w:proofErr w:type="spellStart"/>
      <w:r w:rsidR="00813907" w:rsidRPr="00FC6841">
        <w:rPr>
          <w:rFonts w:asciiTheme="majorHAnsi" w:hAnsiTheme="majorHAnsi" w:cs="Calibri"/>
          <w:color w:val="000000"/>
          <w:sz w:val="28"/>
          <w:szCs w:val="28"/>
        </w:rPr>
        <w:t>Realtime</w:t>
      </w:r>
      <w:proofErr w:type="spellEnd"/>
      <w:r w:rsidR="00813907" w:rsidRPr="00FC6841">
        <w:rPr>
          <w:rFonts w:asciiTheme="majorHAnsi" w:hAnsiTheme="majorHAnsi" w:cs="Calibri"/>
          <w:color w:val="000000"/>
          <w:sz w:val="28"/>
          <w:szCs w:val="28"/>
        </w:rPr>
        <w:t xml:space="preserve"> Translation) captioning available. (CART captioning is real-time captioning of speakers at an event projected onto a large screen at the front of the room.) </w:t>
      </w:r>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r w:rsidR="00813907" w:rsidRPr="00FC6841">
        <w:rPr>
          <w:rFonts w:asciiTheme="majorHAnsi" w:hAnsiTheme="majorHAnsi" w:cs="Calibri"/>
          <w:color w:val="000000"/>
          <w:sz w:val="28"/>
          <w:szCs w:val="28"/>
        </w:rPr>
        <w:t>Uses loop technology if available</w:t>
      </w:r>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r w:rsidR="00813907" w:rsidRPr="00FC6841">
        <w:rPr>
          <w:rFonts w:asciiTheme="majorHAnsi" w:hAnsiTheme="majorHAnsi" w:cs="Calibri"/>
          <w:color w:val="000000"/>
          <w:sz w:val="28"/>
          <w:szCs w:val="28"/>
        </w:rPr>
        <w:t xml:space="preserve">Uses large print materials or materials in </w:t>
      </w:r>
      <w:r w:rsidR="000C6833">
        <w:rPr>
          <w:rFonts w:asciiTheme="majorHAnsi" w:hAnsiTheme="majorHAnsi" w:cs="Calibri"/>
          <w:color w:val="000000"/>
          <w:sz w:val="28"/>
          <w:szCs w:val="28"/>
        </w:rPr>
        <w:t xml:space="preserve">accessible </w:t>
      </w:r>
      <w:r w:rsidR="00813907" w:rsidRPr="00FC6841">
        <w:rPr>
          <w:rFonts w:asciiTheme="majorHAnsi" w:hAnsiTheme="majorHAnsi" w:cs="Calibri"/>
          <w:color w:val="000000"/>
          <w:sz w:val="28"/>
          <w:szCs w:val="28"/>
        </w:rPr>
        <w:t>electronic formats</w:t>
      </w:r>
      <w:r w:rsidR="000C6833">
        <w:rPr>
          <w:rFonts w:asciiTheme="majorHAnsi" w:hAnsiTheme="majorHAnsi" w:cs="Calibri"/>
          <w:color w:val="000000"/>
          <w:sz w:val="28"/>
          <w:szCs w:val="28"/>
        </w:rPr>
        <w:t>.</w:t>
      </w:r>
    </w:p>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p>
    <w:p w:rsidR="00813907" w:rsidRPr="00FC6841" w:rsidRDefault="00813907" w:rsidP="00FC6841">
      <w:pPr>
        <w:widowControl w:val="0"/>
        <w:autoSpaceDE w:val="0"/>
        <w:autoSpaceDN w:val="0"/>
        <w:adjustRightInd w:val="0"/>
        <w:rPr>
          <w:rFonts w:asciiTheme="majorHAnsi" w:hAnsiTheme="majorHAnsi" w:cs="Times Roman"/>
          <w:b/>
          <w:color w:val="000000"/>
          <w:sz w:val="28"/>
          <w:szCs w:val="28"/>
        </w:rPr>
      </w:pPr>
      <w:r w:rsidRPr="00FC6841">
        <w:rPr>
          <w:rFonts w:asciiTheme="majorHAnsi" w:hAnsiTheme="majorHAnsi" w:cs="Calibri"/>
          <w:b/>
          <w:color w:val="000000"/>
          <w:sz w:val="28"/>
          <w:szCs w:val="28"/>
        </w:rPr>
        <w:t>My campaign material includes: </w:t>
      </w:r>
    </w:p>
    <w:p w:rsidR="000C6833" w:rsidRDefault="00FC6841" w:rsidP="00FC6841">
      <w:pPr>
        <w:widowControl w:val="0"/>
        <w:autoSpaceDE w:val="0"/>
        <w:autoSpaceDN w:val="0"/>
        <w:adjustRightInd w:val="0"/>
        <w:rPr>
          <w:rFonts w:asciiTheme="majorHAnsi" w:hAnsiTheme="majorHAnsi" w:cs="Calibri"/>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r w:rsidR="00813907" w:rsidRPr="00FC6841">
        <w:rPr>
          <w:rFonts w:asciiTheme="majorHAnsi" w:hAnsiTheme="majorHAnsi" w:cs="Calibri"/>
          <w:color w:val="000000"/>
          <w:sz w:val="28"/>
          <w:szCs w:val="28"/>
        </w:rPr>
        <w:t>Closed captioning and ASL for campaign videos</w:t>
      </w:r>
      <w:proofErr w:type="gramStart"/>
      <w:r w:rsidR="00813907" w:rsidRPr="00FC6841">
        <w:rPr>
          <w:rFonts w:asciiTheme="majorHAnsi" w:hAnsiTheme="majorHAnsi" w:cs="Calibri"/>
          <w:color w:val="000000"/>
          <w:sz w:val="28"/>
          <w:szCs w:val="28"/>
        </w:rPr>
        <w:t>. </w:t>
      </w:r>
      <w:proofErr w:type="gramEnd"/>
    </w:p>
    <w:p w:rsidR="000C6833" w:rsidRDefault="00FC6841" w:rsidP="000C6833">
      <w:pPr>
        <w:widowControl w:val="0"/>
        <w:autoSpaceDE w:val="0"/>
        <w:autoSpaceDN w:val="0"/>
        <w:adjustRightInd w:val="0"/>
        <w:rPr>
          <w:rFonts w:asciiTheme="majorHAnsi" w:hAnsiTheme="majorHAnsi" w:cs="Calibri"/>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r w:rsidR="00813907" w:rsidRPr="00FC6841">
        <w:rPr>
          <w:rFonts w:asciiTheme="majorHAnsi" w:hAnsiTheme="majorHAnsi" w:cs="Calibri"/>
          <w:color w:val="000000"/>
          <w:sz w:val="28"/>
          <w:szCs w:val="28"/>
        </w:rPr>
        <w:t>Large print materials or materials in electronic formats</w:t>
      </w:r>
    </w:p>
    <w:p w:rsidR="000C6833" w:rsidRPr="000C6833" w:rsidRDefault="000C6833" w:rsidP="000C6833">
      <w:pPr>
        <w:widowControl w:val="0"/>
        <w:autoSpaceDE w:val="0"/>
        <w:autoSpaceDN w:val="0"/>
        <w:adjustRightInd w:val="0"/>
        <w:rPr>
          <w:rFonts w:asciiTheme="majorHAnsi" w:hAnsiTheme="majorHAnsi" w:cs="Calibri"/>
          <w:color w:val="000000"/>
          <w:sz w:val="28"/>
          <w:szCs w:val="28"/>
        </w:rPr>
      </w:pPr>
      <w:proofErr w:type="gramStart"/>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r w:rsidRPr="00FC6841">
        <w:rPr>
          <w:rFonts w:asciiTheme="majorHAnsi" w:hAnsiTheme="majorHAnsi" w:cs="Calibri"/>
          <w:color w:val="000000"/>
          <w:sz w:val="28"/>
          <w:szCs w:val="28"/>
        </w:rPr>
        <w:t>“plain language”</w:t>
      </w:r>
      <w:r>
        <w:rPr>
          <w:rFonts w:asciiTheme="majorHAnsi" w:hAnsiTheme="majorHAnsi" w:cs="Calibri"/>
          <w:color w:val="000000"/>
          <w:sz w:val="28"/>
          <w:szCs w:val="28"/>
        </w:rPr>
        <w:t xml:space="preserve"> to make it more accessible to all (see link below).</w:t>
      </w:r>
      <w:proofErr w:type="gramEnd"/>
    </w:p>
    <w:p w:rsidR="00FC6841" w:rsidRDefault="00FC6841" w:rsidP="00FC6841">
      <w:pPr>
        <w:widowControl w:val="0"/>
        <w:autoSpaceDE w:val="0"/>
        <w:autoSpaceDN w:val="0"/>
        <w:adjustRightInd w:val="0"/>
        <w:rPr>
          <w:rFonts w:asciiTheme="majorHAnsi" w:hAnsiTheme="majorHAnsi" w:cs="Calibri"/>
          <w:color w:val="000000"/>
          <w:sz w:val="28"/>
          <w:szCs w:val="28"/>
        </w:rPr>
      </w:pPr>
    </w:p>
    <w:p w:rsidR="00FC6841" w:rsidRPr="00FC6841" w:rsidRDefault="00FC6841" w:rsidP="00FC6841">
      <w:pPr>
        <w:widowControl w:val="0"/>
        <w:autoSpaceDE w:val="0"/>
        <w:autoSpaceDN w:val="0"/>
        <w:adjustRightInd w:val="0"/>
        <w:rPr>
          <w:rFonts w:asciiTheme="majorHAnsi" w:hAnsiTheme="majorHAnsi" w:cs="Calibri"/>
          <w:b/>
          <w:color w:val="000000"/>
          <w:sz w:val="28"/>
          <w:szCs w:val="28"/>
        </w:rPr>
      </w:pPr>
      <w:r w:rsidRPr="00FC6841">
        <w:rPr>
          <w:rFonts w:asciiTheme="majorHAnsi" w:hAnsiTheme="majorHAnsi" w:cs="Calibri"/>
          <w:b/>
          <w:color w:val="000000"/>
          <w:sz w:val="28"/>
          <w:szCs w:val="28"/>
        </w:rPr>
        <w:t xml:space="preserve">My campaign offices are: </w:t>
      </w:r>
    </w:p>
    <w:p w:rsidR="00FC6841" w:rsidRPr="00FC6841" w:rsidRDefault="00FC6841" w:rsidP="00FC6841">
      <w:pPr>
        <w:widowControl w:val="0"/>
        <w:autoSpaceDE w:val="0"/>
        <w:autoSpaceDN w:val="0"/>
        <w:adjustRightInd w:val="0"/>
        <w:rPr>
          <w:rFonts w:asciiTheme="majorHAnsi" w:hAnsiTheme="majorHAnsi" w:cs="Times Roman"/>
          <w:color w:val="000000"/>
          <w:sz w:val="28"/>
          <w:szCs w:val="28"/>
        </w:rPr>
      </w:pPr>
      <w:r w:rsidRPr="00FC6841">
        <w:rPr>
          <w:rFonts w:ascii="Menlo Regular" w:eastAsia="ＭＳ ゴシック" w:hAnsi="Menlo Regular" w:cs="Menlo Regular"/>
          <w:color w:val="000000"/>
          <w:sz w:val="28"/>
          <w:szCs w:val="28"/>
        </w:rPr>
        <w:t>☐</w:t>
      </w:r>
      <w:r w:rsidRPr="00FC6841">
        <w:rPr>
          <w:rFonts w:asciiTheme="majorHAnsi" w:eastAsia="ＭＳ ゴシック" w:hAnsiTheme="majorHAnsi" w:cs="Calibri"/>
          <w:color w:val="000000"/>
          <w:sz w:val="28"/>
          <w:szCs w:val="28"/>
        </w:rPr>
        <w:t xml:space="preserve"> </w:t>
      </w:r>
      <w:proofErr w:type="gramStart"/>
      <w:r>
        <w:rPr>
          <w:rFonts w:asciiTheme="majorHAnsi" w:hAnsiTheme="majorHAnsi" w:cs="Calibri"/>
          <w:color w:val="000000"/>
          <w:sz w:val="28"/>
          <w:szCs w:val="28"/>
        </w:rPr>
        <w:t>Fully</w:t>
      </w:r>
      <w:proofErr w:type="gramEnd"/>
      <w:r>
        <w:rPr>
          <w:rFonts w:asciiTheme="majorHAnsi" w:hAnsiTheme="majorHAnsi" w:cs="Calibri"/>
          <w:color w:val="000000"/>
          <w:sz w:val="28"/>
          <w:szCs w:val="28"/>
        </w:rPr>
        <w:t xml:space="preserve"> accessible to people with mobility </w:t>
      </w:r>
      <w:r w:rsidR="000C6833">
        <w:rPr>
          <w:rFonts w:asciiTheme="majorHAnsi" w:hAnsiTheme="majorHAnsi" w:cs="Calibri"/>
          <w:color w:val="000000"/>
          <w:sz w:val="28"/>
          <w:szCs w:val="28"/>
        </w:rPr>
        <w:t xml:space="preserve">and other </w:t>
      </w:r>
      <w:r>
        <w:rPr>
          <w:rFonts w:asciiTheme="majorHAnsi" w:hAnsiTheme="majorHAnsi" w:cs="Calibri"/>
          <w:color w:val="000000"/>
          <w:sz w:val="28"/>
          <w:szCs w:val="28"/>
        </w:rPr>
        <w:t>disabilities</w:t>
      </w:r>
    </w:p>
    <w:p w:rsidR="00FC6841" w:rsidRPr="00FC6841" w:rsidRDefault="00FC6841" w:rsidP="00FC6841">
      <w:pPr>
        <w:widowControl w:val="0"/>
        <w:autoSpaceDE w:val="0"/>
        <w:autoSpaceDN w:val="0"/>
        <w:adjustRightInd w:val="0"/>
        <w:rPr>
          <w:rFonts w:asciiTheme="majorHAnsi" w:hAnsiTheme="majorHAnsi" w:cs="Times Roman"/>
          <w:color w:val="000000"/>
          <w:sz w:val="28"/>
          <w:szCs w:val="28"/>
        </w:rPr>
      </w:pPr>
      <w:bookmarkStart w:id="0" w:name="_GoBack"/>
      <w:bookmarkEnd w:id="0"/>
    </w:p>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r w:rsidRPr="00FC6841">
        <w:rPr>
          <w:rFonts w:asciiTheme="majorHAnsi" w:hAnsiTheme="majorHAnsi" w:cs="Calibri"/>
          <w:b/>
          <w:bCs/>
          <w:color w:val="000000"/>
          <w:sz w:val="28"/>
          <w:szCs w:val="28"/>
        </w:rPr>
        <w:t>LINKS</w:t>
      </w:r>
    </w:p>
    <w:p w:rsidR="00813907" w:rsidRPr="00FC6841" w:rsidRDefault="00813907" w:rsidP="00FC6841">
      <w:pPr>
        <w:widowControl w:val="0"/>
        <w:autoSpaceDE w:val="0"/>
        <w:autoSpaceDN w:val="0"/>
        <w:adjustRightInd w:val="0"/>
        <w:rPr>
          <w:rFonts w:asciiTheme="majorHAnsi" w:hAnsiTheme="majorHAnsi" w:cs="Times Roman"/>
          <w:color w:val="000000"/>
          <w:sz w:val="28"/>
          <w:szCs w:val="28"/>
        </w:rPr>
      </w:pPr>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hyperlink r:id="rId6" w:history="1">
        <w:r w:rsidR="00813907" w:rsidRPr="00FC6841">
          <w:rPr>
            <w:rFonts w:asciiTheme="majorHAnsi" w:hAnsiTheme="majorHAnsi" w:cs="Calibri"/>
            <w:color w:val="103CC0"/>
            <w:sz w:val="28"/>
            <w:szCs w:val="28"/>
            <w:u w:val="single" w:color="103CC0"/>
          </w:rPr>
          <w:t>http://www.aucd.org/docs/add/sa_summits/ASAN.pdf</w:t>
        </w:r>
      </w:hyperlink>
    </w:p>
    <w:p w:rsidR="00813907" w:rsidRPr="00FC6841" w:rsidRDefault="00FC6841" w:rsidP="00FC6841">
      <w:pPr>
        <w:widowControl w:val="0"/>
        <w:autoSpaceDE w:val="0"/>
        <w:autoSpaceDN w:val="0"/>
        <w:adjustRightInd w:val="0"/>
        <w:rPr>
          <w:rFonts w:asciiTheme="majorHAnsi" w:hAnsiTheme="majorHAnsi" w:cs="Times Roman"/>
          <w:color w:val="000000"/>
          <w:sz w:val="28"/>
          <w:szCs w:val="28"/>
        </w:rPr>
      </w:pPr>
      <w:hyperlink r:id="rId7" w:history="1">
        <w:r w:rsidR="00813907" w:rsidRPr="00FC6841">
          <w:rPr>
            <w:rFonts w:asciiTheme="majorHAnsi" w:hAnsiTheme="majorHAnsi" w:cs="Calibri"/>
            <w:color w:val="103CC0"/>
            <w:sz w:val="28"/>
            <w:szCs w:val="28"/>
            <w:u w:val="single" w:color="103CC0"/>
          </w:rPr>
          <w:t>https://ncil.org/campaign-guide/</w:t>
        </w:r>
      </w:hyperlink>
    </w:p>
    <w:p w:rsidR="00E0617A" w:rsidRPr="00FC6841" w:rsidRDefault="00FC6841" w:rsidP="00FC6841">
      <w:pPr>
        <w:rPr>
          <w:rFonts w:asciiTheme="majorHAnsi" w:hAnsiTheme="majorHAnsi"/>
        </w:rPr>
      </w:pPr>
      <w:hyperlink r:id="rId8" w:history="1">
        <w:r w:rsidR="00813907" w:rsidRPr="00FC6841">
          <w:rPr>
            <w:rFonts w:asciiTheme="majorHAnsi" w:hAnsiTheme="majorHAnsi" w:cs="Calibri"/>
            <w:color w:val="103CC0"/>
            <w:sz w:val="28"/>
            <w:szCs w:val="28"/>
            <w:u w:val="single" w:color="103CC0"/>
          </w:rPr>
          <w:t>https://accessibility.huit.harvard.edu/use-plain-language</w:t>
        </w:r>
      </w:hyperlink>
    </w:p>
    <w:sectPr w:rsidR="00E0617A" w:rsidRPr="00FC6841" w:rsidSect="00E06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07"/>
    <w:rsid w:val="000C6833"/>
    <w:rsid w:val="00675070"/>
    <w:rsid w:val="00813907"/>
    <w:rsid w:val="00BC10D9"/>
    <w:rsid w:val="00CA05B7"/>
    <w:rsid w:val="00E0617A"/>
    <w:rsid w:val="00FC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cd.org/docs/add/sa_summits/ASAN.pdf" TargetMode="External"/><Relationship Id="rId7" Type="http://schemas.openxmlformats.org/officeDocument/2006/relationships/hyperlink" Target="https://ncil.org/campaign-guide/" TargetMode="External"/><Relationship Id="rId8" Type="http://schemas.openxmlformats.org/officeDocument/2006/relationships/hyperlink" Target="https://accessibility.huit.harvard.edu/use-plain-langu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0CA7-732F-164C-B00E-325223A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1188</Characters>
  <Application>Microsoft Macintosh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 Rappaport</dc:creator>
  <cp:keywords/>
  <dc:description/>
  <cp:lastModifiedBy>Joseph G. Rappaport</cp:lastModifiedBy>
  <cp:revision>2</cp:revision>
  <cp:lastPrinted>2021-04-26T19:44:00Z</cp:lastPrinted>
  <dcterms:created xsi:type="dcterms:W3CDTF">2021-04-27T15:26:00Z</dcterms:created>
  <dcterms:modified xsi:type="dcterms:W3CDTF">2021-04-27T15:26:00Z</dcterms:modified>
</cp:coreProperties>
</file>